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06006" w14:textId="77777777" w:rsidR="00B52010" w:rsidRPr="007A7E76" w:rsidRDefault="00B52010">
      <w:pPr>
        <w:pStyle w:val="BodyText"/>
        <w:jc w:val="left"/>
        <w:rPr>
          <w:lang w:val="fr-CA"/>
        </w:rPr>
      </w:pPr>
    </w:p>
    <w:p w14:paraId="0F3094DC" w14:textId="77777777" w:rsidR="00B52010" w:rsidRPr="007A7E76" w:rsidRDefault="00B52010">
      <w:pPr>
        <w:pStyle w:val="BodyText"/>
        <w:jc w:val="left"/>
        <w:rPr>
          <w:lang w:val="fr-CA"/>
        </w:rPr>
      </w:pPr>
    </w:p>
    <w:p w14:paraId="55CB64C2" w14:textId="77777777" w:rsidR="00B52010" w:rsidRPr="007A7E76" w:rsidRDefault="00B52010">
      <w:pPr>
        <w:pStyle w:val="BodyText"/>
        <w:jc w:val="left"/>
        <w:rPr>
          <w:lang w:val="fr-CA"/>
        </w:rPr>
      </w:pPr>
    </w:p>
    <w:p w14:paraId="76E54016" w14:textId="77777777" w:rsidR="00B52010" w:rsidRPr="007A7E76" w:rsidRDefault="00B52010">
      <w:pPr>
        <w:pStyle w:val="BodyText"/>
        <w:spacing w:before="9"/>
        <w:jc w:val="left"/>
        <w:rPr>
          <w:sz w:val="24"/>
          <w:lang w:val="fr-CA"/>
        </w:rPr>
      </w:pPr>
    </w:p>
    <w:p w14:paraId="36EB9BE0" w14:textId="77777777" w:rsidR="00B52010" w:rsidRPr="007A7E76" w:rsidRDefault="00B52010">
      <w:pPr>
        <w:pStyle w:val="BodyText"/>
        <w:spacing w:before="11"/>
        <w:jc w:val="left"/>
        <w:rPr>
          <w:b/>
          <w:lang w:val="fr-CA"/>
        </w:rPr>
      </w:pPr>
    </w:p>
    <w:p w14:paraId="07C7B473" w14:textId="26FD8CC8" w:rsidR="00B52010" w:rsidRPr="007A7E76" w:rsidRDefault="006D3A0B">
      <w:pPr>
        <w:ind w:left="1217" w:right="114"/>
        <w:jc w:val="center"/>
        <w:rPr>
          <w:b/>
          <w:sz w:val="20"/>
          <w:lang w:val="fr-CA"/>
        </w:rPr>
      </w:pPr>
      <w:r w:rsidRPr="007A7E76">
        <w:rPr>
          <w:b/>
          <w:color w:val="242121"/>
          <w:sz w:val="20"/>
          <w:lang w:val="fr-CA"/>
        </w:rPr>
        <w:t>CRITÈRES D'ADJUDICATION DES PRÊTS</w:t>
      </w:r>
    </w:p>
    <w:p w14:paraId="13624B9D" w14:textId="77777777" w:rsidR="00B52010" w:rsidRPr="007A7E76" w:rsidRDefault="00B52010">
      <w:pPr>
        <w:pStyle w:val="BodyText"/>
        <w:spacing w:before="6"/>
        <w:jc w:val="left"/>
        <w:rPr>
          <w:b/>
          <w:lang w:val="fr-CA"/>
        </w:rPr>
      </w:pPr>
    </w:p>
    <w:p w14:paraId="3CFB837A" w14:textId="5B5A2850" w:rsidR="00B52010" w:rsidRPr="007A7E76" w:rsidRDefault="007A7E76">
      <w:pPr>
        <w:ind w:left="1221"/>
        <w:rPr>
          <w:b/>
          <w:sz w:val="20"/>
          <w:lang w:val="fr-CA"/>
        </w:rPr>
      </w:pPr>
      <w:r w:rsidRPr="007A7E76">
        <w:rPr>
          <w:b/>
          <w:color w:val="242121"/>
          <w:sz w:val="20"/>
          <w:lang w:val="fr-CA"/>
        </w:rPr>
        <w:t>Critères de prêt - Entreprises soumises à des restrictions</w:t>
      </w:r>
    </w:p>
    <w:p w14:paraId="17EFB710" w14:textId="77777777" w:rsidR="00B52010" w:rsidRPr="007A7E76" w:rsidRDefault="00B52010">
      <w:pPr>
        <w:pStyle w:val="BodyText"/>
        <w:spacing w:before="4"/>
        <w:jc w:val="left"/>
        <w:rPr>
          <w:b/>
          <w:sz w:val="21"/>
          <w:lang w:val="fr-CA"/>
        </w:rPr>
      </w:pPr>
    </w:p>
    <w:p w14:paraId="624EAF30" w14:textId="09A07D58" w:rsidR="00B52010" w:rsidRPr="007A7E76" w:rsidRDefault="007A7E76">
      <w:pPr>
        <w:pStyle w:val="BodyText"/>
        <w:ind w:left="1222"/>
        <w:jc w:val="left"/>
        <w:rPr>
          <w:lang w:val="fr-CA"/>
        </w:rPr>
      </w:pPr>
      <w:r w:rsidRPr="007A7E76">
        <w:rPr>
          <w:color w:val="242121"/>
          <w:lang w:val="fr-CA"/>
        </w:rPr>
        <w:t xml:space="preserve">Les </w:t>
      </w:r>
      <w:r w:rsidR="00EF1581">
        <w:rPr>
          <w:color w:val="242121"/>
          <w:lang w:val="fr-CA"/>
        </w:rPr>
        <w:t>entités</w:t>
      </w:r>
      <w:r w:rsidRPr="007A7E76">
        <w:rPr>
          <w:color w:val="242121"/>
          <w:lang w:val="fr-CA"/>
        </w:rPr>
        <w:t xml:space="preserve"> suivantes ne sont pas </w:t>
      </w:r>
      <w:r>
        <w:rPr>
          <w:color w:val="242121"/>
          <w:lang w:val="fr-CA"/>
        </w:rPr>
        <w:t>admissibles</w:t>
      </w:r>
      <w:r w:rsidRPr="007A7E76">
        <w:rPr>
          <w:color w:val="242121"/>
          <w:lang w:val="fr-CA"/>
        </w:rPr>
        <w:t xml:space="preserve"> à un prêt dans le cadre du Programme</w:t>
      </w:r>
      <w:r>
        <w:rPr>
          <w:color w:val="242121"/>
          <w:lang w:val="fr-CA"/>
        </w:rPr>
        <w:t xml:space="preserve"> </w:t>
      </w:r>
      <w:r w:rsidR="00000000" w:rsidRPr="007A7E76">
        <w:rPr>
          <w:color w:val="242121"/>
          <w:spacing w:val="-2"/>
          <w:lang w:val="fr-CA"/>
        </w:rPr>
        <w:t>:</w:t>
      </w:r>
    </w:p>
    <w:p w14:paraId="7FA39E20" w14:textId="77777777" w:rsidR="00B52010" w:rsidRPr="007A7E76" w:rsidRDefault="00B52010">
      <w:pPr>
        <w:pStyle w:val="BodyText"/>
        <w:spacing w:before="8"/>
        <w:jc w:val="left"/>
        <w:rPr>
          <w:sz w:val="19"/>
          <w:lang w:val="fr-CA"/>
        </w:rPr>
      </w:pPr>
    </w:p>
    <w:p w14:paraId="42F61BB9" w14:textId="30F3A27B" w:rsidR="00B52010" w:rsidRPr="007A7E76" w:rsidRDefault="00EF1581">
      <w:pPr>
        <w:pStyle w:val="ListParagraph"/>
        <w:numPr>
          <w:ilvl w:val="0"/>
          <w:numId w:val="1"/>
        </w:numPr>
        <w:tabs>
          <w:tab w:val="left" w:pos="1946"/>
        </w:tabs>
        <w:spacing w:before="0"/>
        <w:ind w:hanging="361"/>
        <w:jc w:val="both"/>
        <w:rPr>
          <w:sz w:val="20"/>
          <w:lang w:val="fr-CA"/>
        </w:rPr>
      </w:pPr>
      <w:r>
        <w:rPr>
          <w:color w:val="242121"/>
          <w:sz w:val="20"/>
          <w:lang w:val="fr-CA"/>
        </w:rPr>
        <w:t>Sociétés de portefeuilles</w:t>
      </w:r>
      <w:r w:rsidR="00000000" w:rsidRPr="007A7E76">
        <w:rPr>
          <w:color w:val="242121"/>
          <w:spacing w:val="-2"/>
          <w:sz w:val="20"/>
          <w:lang w:val="fr-CA"/>
        </w:rPr>
        <w:t>;</w:t>
      </w:r>
    </w:p>
    <w:p w14:paraId="769269D6" w14:textId="08A9976E" w:rsidR="00B52010" w:rsidRPr="007A7E76" w:rsidRDefault="008C1155">
      <w:pPr>
        <w:pStyle w:val="ListParagraph"/>
        <w:numPr>
          <w:ilvl w:val="0"/>
          <w:numId w:val="1"/>
        </w:numPr>
        <w:tabs>
          <w:tab w:val="left" w:pos="1945"/>
        </w:tabs>
        <w:ind w:left="1945" w:hanging="359"/>
        <w:jc w:val="both"/>
        <w:rPr>
          <w:sz w:val="20"/>
          <w:lang w:val="fr-CA"/>
        </w:rPr>
      </w:pPr>
      <w:r w:rsidRPr="008C1155">
        <w:rPr>
          <w:color w:val="242121"/>
          <w:sz w:val="20"/>
          <w:lang w:val="fr-CA"/>
        </w:rPr>
        <w:t>Organisations ou organismes gouvernementaux, ou entités détenues par une organisation ou un organisme gouvernemental</w:t>
      </w:r>
      <w:r w:rsidR="00000000" w:rsidRPr="007A7E76">
        <w:rPr>
          <w:color w:val="242121"/>
          <w:spacing w:val="-2"/>
          <w:sz w:val="20"/>
          <w:lang w:val="fr-CA"/>
        </w:rPr>
        <w:t>;</w:t>
      </w:r>
    </w:p>
    <w:p w14:paraId="69F32A94" w14:textId="20ABBB68" w:rsidR="00B52010" w:rsidRPr="007A7E76" w:rsidRDefault="00434DF6">
      <w:pPr>
        <w:pStyle w:val="ListParagraph"/>
        <w:numPr>
          <w:ilvl w:val="0"/>
          <w:numId w:val="1"/>
        </w:numPr>
        <w:tabs>
          <w:tab w:val="left" w:pos="1945"/>
        </w:tabs>
        <w:ind w:left="1945" w:hanging="361"/>
        <w:jc w:val="both"/>
        <w:rPr>
          <w:sz w:val="20"/>
          <w:lang w:val="fr-CA"/>
        </w:rPr>
      </w:pPr>
      <w:r>
        <w:rPr>
          <w:color w:val="242121"/>
          <w:sz w:val="20"/>
          <w:lang w:val="fr-CA"/>
        </w:rPr>
        <w:t>S</w:t>
      </w:r>
      <w:r w:rsidRPr="00434DF6">
        <w:rPr>
          <w:color w:val="242121"/>
          <w:sz w:val="20"/>
          <w:lang w:val="fr-CA"/>
        </w:rPr>
        <w:t>yndicats, organisations caritatives, religieuses ou fraternelles ou entités appartenant à ces organisations</w:t>
      </w:r>
      <w:r w:rsidR="00000000" w:rsidRPr="007A7E76">
        <w:rPr>
          <w:color w:val="242121"/>
          <w:spacing w:val="-2"/>
          <w:sz w:val="20"/>
          <w:lang w:val="fr-CA"/>
        </w:rPr>
        <w:t>;</w:t>
      </w:r>
    </w:p>
    <w:p w14:paraId="30B56913" w14:textId="7F8D3F1C" w:rsidR="00B52010" w:rsidRPr="007A7E76" w:rsidRDefault="00E405C3">
      <w:pPr>
        <w:pStyle w:val="ListParagraph"/>
        <w:numPr>
          <w:ilvl w:val="0"/>
          <w:numId w:val="1"/>
        </w:numPr>
        <w:tabs>
          <w:tab w:val="left" w:pos="1946"/>
        </w:tabs>
        <w:spacing w:before="126"/>
        <w:ind w:hanging="361"/>
        <w:jc w:val="both"/>
        <w:rPr>
          <w:sz w:val="20"/>
          <w:lang w:val="fr-CA"/>
        </w:rPr>
      </w:pPr>
      <w:r w:rsidRPr="00E405C3">
        <w:rPr>
          <w:color w:val="242121"/>
          <w:sz w:val="20"/>
          <w:lang w:val="fr-CA"/>
        </w:rPr>
        <w:t>Entités détenues par des personnes exerçant une fonction politique</w:t>
      </w:r>
      <w:r w:rsidR="00000000" w:rsidRPr="007A7E76">
        <w:rPr>
          <w:color w:val="242121"/>
          <w:spacing w:val="-2"/>
          <w:sz w:val="20"/>
          <w:lang w:val="fr-CA"/>
        </w:rPr>
        <w:t>;</w:t>
      </w:r>
    </w:p>
    <w:p w14:paraId="3A8CDAAA" w14:textId="3A446219" w:rsidR="00B52010" w:rsidRPr="007A7E76" w:rsidRDefault="009661AB">
      <w:pPr>
        <w:pStyle w:val="ListParagraph"/>
        <w:numPr>
          <w:ilvl w:val="0"/>
          <w:numId w:val="1"/>
        </w:numPr>
        <w:tabs>
          <w:tab w:val="left" w:pos="1944"/>
          <w:tab w:val="left" w:pos="1946"/>
        </w:tabs>
        <w:spacing w:before="123" w:line="237" w:lineRule="auto"/>
        <w:ind w:right="103" w:hanging="363"/>
        <w:jc w:val="both"/>
        <w:rPr>
          <w:sz w:val="20"/>
          <w:lang w:val="fr-CA"/>
        </w:rPr>
      </w:pPr>
      <w:r w:rsidRPr="009661AB">
        <w:rPr>
          <w:color w:val="242121"/>
          <w:sz w:val="20"/>
          <w:lang w:val="fr-CA"/>
        </w:rPr>
        <w:t>Entités pratiquant toute forme d'exploitation sexuelle ou promouvant la violence, incitant à la haine ou pratiquant une discrimination fondée sur la race, l'origine nationale ou ethnique, la couleur, la religion, le sexe, l'âge ou un handicap mental ou physique</w:t>
      </w:r>
      <w:r w:rsidR="00000000" w:rsidRPr="007A7E76">
        <w:rPr>
          <w:color w:val="242121"/>
          <w:sz w:val="20"/>
          <w:lang w:val="fr-CA"/>
        </w:rPr>
        <w:t>;</w:t>
      </w:r>
    </w:p>
    <w:p w14:paraId="3AD6AC9F" w14:textId="3073A00D" w:rsidR="00F35527" w:rsidRPr="00F35527" w:rsidRDefault="00F35527">
      <w:pPr>
        <w:pStyle w:val="ListParagraph"/>
        <w:numPr>
          <w:ilvl w:val="0"/>
          <w:numId w:val="1"/>
        </w:numPr>
        <w:tabs>
          <w:tab w:val="left" w:pos="1946"/>
        </w:tabs>
        <w:spacing w:line="242" w:lineRule="auto"/>
        <w:ind w:right="113" w:hanging="364"/>
        <w:jc w:val="both"/>
        <w:rPr>
          <w:sz w:val="20"/>
          <w:lang w:val="fr-CA"/>
        </w:rPr>
      </w:pPr>
      <w:r>
        <w:rPr>
          <w:color w:val="242121"/>
          <w:sz w:val="20"/>
          <w:lang w:val="fr-CA"/>
        </w:rPr>
        <w:t>D</w:t>
      </w:r>
      <w:r w:rsidRPr="00F35527">
        <w:rPr>
          <w:color w:val="242121"/>
          <w:sz w:val="20"/>
          <w:lang w:val="fr-CA"/>
        </w:rPr>
        <w:t xml:space="preserve">emandeurs dont il a été établi qu'ils se sont rendus coupables d'évasion fiscale; </w:t>
      </w:r>
    </w:p>
    <w:p w14:paraId="432D58CA" w14:textId="5F07413F" w:rsidR="00B52010" w:rsidRPr="007A7E76" w:rsidRDefault="00B9407F">
      <w:pPr>
        <w:pStyle w:val="ListParagraph"/>
        <w:numPr>
          <w:ilvl w:val="0"/>
          <w:numId w:val="1"/>
        </w:numPr>
        <w:tabs>
          <w:tab w:val="left" w:pos="1946"/>
        </w:tabs>
        <w:spacing w:line="242" w:lineRule="auto"/>
        <w:ind w:right="113" w:hanging="364"/>
        <w:jc w:val="both"/>
        <w:rPr>
          <w:sz w:val="20"/>
          <w:lang w:val="fr-CA"/>
        </w:rPr>
      </w:pPr>
      <w:r w:rsidRPr="00B9407F">
        <w:rPr>
          <w:color w:val="242121"/>
          <w:sz w:val="20"/>
          <w:lang w:val="fr-CA"/>
        </w:rPr>
        <w:t xml:space="preserve">Tout autre </w:t>
      </w:r>
      <w:r>
        <w:rPr>
          <w:color w:val="242121"/>
          <w:sz w:val="20"/>
          <w:lang w:val="fr-CA"/>
        </w:rPr>
        <w:t>demandeur</w:t>
      </w:r>
      <w:r w:rsidRPr="00B9407F">
        <w:rPr>
          <w:color w:val="242121"/>
          <w:sz w:val="20"/>
          <w:lang w:val="fr-CA"/>
        </w:rPr>
        <w:t xml:space="preserve"> que le prêteur juge </w:t>
      </w:r>
      <w:r w:rsidRPr="00B9407F">
        <w:rPr>
          <w:color w:val="242121"/>
          <w:sz w:val="20"/>
          <w:lang w:val="fr-CA"/>
        </w:rPr>
        <w:t>in</w:t>
      </w:r>
      <w:r>
        <w:rPr>
          <w:color w:val="242121"/>
          <w:sz w:val="20"/>
          <w:lang w:val="fr-CA"/>
        </w:rPr>
        <w:t>admissible</w:t>
      </w:r>
      <w:r w:rsidRPr="00B9407F">
        <w:rPr>
          <w:color w:val="242121"/>
          <w:sz w:val="20"/>
          <w:lang w:val="fr-CA"/>
        </w:rPr>
        <w:t xml:space="preserve"> conformément aux politiques, processus, lignes directrices et pratiques adoptés et habituellement appliqués par le prêteur, de temps à autre.</w:t>
      </w:r>
    </w:p>
    <w:p w14:paraId="3DB41A38" w14:textId="02C2BB2C" w:rsidR="00B52010" w:rsidRPr="007A7E76" w:rsidRDefault="0011075E">
      <w:pPr>
        <w:pStyle w:val="ListParagraph"/>
        <w:numPr>
          <w:ilvl w:val="0"/>
          <w:numId w:val="1"/>
        </w:numPr>
        <w:tabs>
          <w:tab w:val="left" w:pos="1946"/>
        </w:tabs>
        <w:spacing w:before="115"/>
        <w:jc w:val="both"/>
        <w:rPr>
          <w:sz w:val="20"/>
          <w:lang w:val="fr-CA"/>
        </w:rPr>
      </w:pPr>
      <w:r w:rsidRPr="0011075E">
        <w:rPr>
          <w:color w:val="242121"/>
          <w:sz w:val="20"/>
          <w:lang w:val="fr-CA"/>
        </w:rPr>
        <w:t>Entreprises exploitant une banque fictive ou un compte bancaire fictif</w:t>
      </w:r>
      <w:r w:rsidR="00000000" w:rsidRPr="007A7E76">
        <w:rPr>
          <w:color w:val="242121"/>
          <w:spacing w:val="-2"/>
          <w:sz w:val="20"/>
          <w:lang w:val="fr-CA"/>
        </w:rPr>
        <w:t>;</w:t>
      </w:r>
    </w:p>
    <w:p w14:paraId="415EB235" w14:textId="5A2F0BE8" w:rsidR="00B52010" w:rsidRPr="007A7E76" w:rsidRDefault="00922E81">
      <w:pPr>
        <w:pStyle w:val="ListParagraph"/>
        <w:numPr>
          <w:ilvl w:val="0"/>
          <w:numId w:val="1"/>
        </w:numPr>
        <w:tabs>
          <w:tab w:val="left" w:pos="1945"/>
        </w:tabs>
        <w:ind w:left="1945" w:right="116"/>
        <w:jc w:val="both"/>
        <w:rPr>
          <w:sz w:val="20"/>
          <w:lang w:val="fr-CA"/>
        </w:rPr>
      </w:pPr>
      <w:r>
        <w:rPr>
          <w:color w:val="242121"/>
          <w:sz w:val="20"/>
          <w:lang w:val="fr-CA"/>
        </w:rPr>
        <w:t>E</w:t>
      </w:r>
      <w:r w:rsidRPr="00922E81">
        <w:rPr>
          <w:color w:val="242121"/>
          <w:sz w:val="20"/>
          <w:lang w:val="fr-CA"/>
        </w:rPr>
        <w:t>ntreprises traitant des crypto/monnaies numériques (achat, vente, acceptation en tant que paiement), y compris toute entreprise qui accepte les crypto-monnaies en guise de paiement</w:t>
      </w:r>
      <w:r w:rsidR="00000000" w:rsidRPr="007A7E76">
        <w:rPr>
          <w:color w:val="242121"/>
          <w:sz w:val="20"/>
          <w:lang w:val="fr-CA"/>
        </w:rPr>
        <w:t>;</w:t>
      </w:r>
    </w:p>
    <w:p w14:paraId="68E76941" w14:textId="5CF86ADA" w:rsidR="00B52010" w:rsidRPr="007A7E76" w:rsidRDefault="00BE42B6">
      <w:pPr>
        <w:pStyle w:val="ListParagraph"/>
        <w:numPr>
          <w:ilvl w:val="0"/>
          <w:numId w:val="1"/>
        </w:numPr>
        <w:tabs>
          <w:tab w:val="left" w:pos="1944"/>
        </w:tabs>
        <w:spacing w:before="122"/>
        <w:ind w:left="1944" w:right="106" w:hanging="360"/>
        <w:jc w:val="both"/>
        <w:rPr>
          <w:sz w:val="20"/>
          <w:lang w:val="fr-CA"/>
        </w:rPr>
      </w:pPr>
      <w:r>
        <w:rPr>
          <w:color w:val="242121"/>
          <w:sz w:val="20"/>
          <w:lang w:val="fr-CA"/>
        </w:rPr>
        <w:t>E</w:t>
      </w:r>
      <w:r w:rsidRPr="00BE42B6">
        <w:rPr>
          <w:color w:val="242121"/>
          <w:sz w:val="20"/>
          <w:lang w:val="fr-CA"/>
        </w:rPr>
        <w:t>ntreprises liées au cannabis ayant des affiliations aux États-Unis d'Amérique (</w:t>
      </w:r>
      <w:r w:rsidR="001359F2">
        <w:rPr>
          <w:color w:val="242121"/>
          <w:sz w:val="20"/>
          <w:lang w:val="fr-CA"/>
        </w:rPr>
        <w:t>« É.-U. »</w:t>
      </w:r>
      <w:r w:rsidRPr="00BE42B6">
        <w:rPr>
          <w:color w:val="242121"/>
          <w:sz w:val="20"/>
          <w:lang w:val="fr-CA"/>
        </w:rPr>
        <w:t>) au sein de leur structure d'entreprise, de sorte que le demandeur ne détienne aucune dette, aucun capital ou aucun investissement hybride dette/capital dans une entreprise de cannabis ou une entreprise liée au cannabis aux États-Unis, et qu'aucune entreprise de cannabis ou entreprise liée au cannabis aux États-Unis ne détienne de dette, de capital ou d'investissement hybride dette/capital dans le demandeur</w:t>
      </w:r>
      <w:r w:rsidR="00000000" w:rsidRPr="007A7E76">
        <w:rPr>
          <w:color w:val="545050"/>
          <w:sz w:val="20"/>
          <w:lang w:val="fr-CA"/>
        </w:rPr>
        <w:t>;</w:t>
      </w:r>
    </w:p>
    <w:p w14:paraId="10BDBFD4" w14:textId="78543EFA" w:rsidR="00B52010" w:rsidRPr="007A7E76" w:rsidRDefault="001359F2">
      <w:pPr>
        <w:pStyle w:val="ListParagraph"/>
        <w:numPr>
          <w:ilvl w:val="0"/>
          <w:numId w:val="1"/>
        </w:numPr>
        <w:tabs>
          <w:tab w:val="left" w:pos="1945"/>
        </w:tabs>
        <w:spacing w:before="123"/>
        <w:ind w:left="1945" w:right="109" w:hanging="361"/>
        <w:jc w:val="both"/>
        <w:rPr>
          <w:sz w:val="20"/>
          <w:lang w:val="fr-CA"/>
        </w:rPr>
      </w:pPr>
      <w:r>
        <w:rPr>
          <w:color w:val="242121"/>
          <w:sz w:val="20"/>
          <w:lang w:val="fr-CA"/>
        </w:rPr>
        <w:t>Demandeurs</w:t>
      </w:r>
      <w:r w:rsidRPr="001359F2">
        <w:rPr>
          <w:color w:val="242121"/>
          <w:sz w:val="20"/>
          <w:lang w:val="fr-CA"/>
        </w:rPr>
        <w:t xml:space="preserve"> dont l'activité principale consiste à fournir des services à toute entreprise décrite au point 10 ci-dessus, y compris le développement ou la mise à niveau de logiciels, les fournisseurs d'assistance technique et les processeurs de paiement principalement destinés à ce type d'entreprise</w:t>
      </w:r>
      <w:r w:rsidR="00000000" w:rsidRPr="007A7E76">
        <w:rPr>
          <w:color w:val="242121"/>
          <w:sz w:val="20"/>
          <w:lang w:val="fr-CA"/>
        </w:rPr>
        <w:t>;</w:t>
      </w:r>
    </w:p>
    <w:p w14:paraId="5A74D9FE" w14:textId="12D907BA" w:rsidR="00B52010" w:rsidRPr="007A7E76" w:rsidRDefault="0059030A">
      <w:pPr>
        <w:pStyle w:val="ListParagraph"/>
        <w:numPr>
          <w:ilvl w:val="0"/>
          <w:numId w:val="1"/>
        </w:numPr>
        <w:tabs>
          <w:tab w:val="left" w:pos="1946"/>
        </w:tabs>
        <w:spacing w:before="122"/>
        <w:ind w:right="106"/>
        <w:jc w:val="both"/>
        <w:rPr>
          <w:sz w:val="20"/>
          <w:lang w:val="fr-CA"/>
        </w:rPr>
      </w:pPr>
      <w:r>
        <w:rPr>
          <w:color w:val="242121"/>
          <w:sz w:val="20"/>
          <w:lang w:val="fr-CA"/>
        </w:rPr>
        <w:t>E</w:t>
      </w:r>
      <w:r w:rsidRPr="0059030A">
        <w:rPr>
          <w:color w:val="242121"/>
          <w:sz w:val="20"/>
          <w:lang w:val="fr-CA"/>
        </w:rPr>
        <w:t>ntreprises qui exploitent un site de jeux d'argent ou de hasard sur Internet, ou toute entreprise qui est directement ou indirectement détenue ou contrôlée par une personne qui possède ou exploite une telle entreprise</w:t>
      </w:r>
      <w:r w:rsidR="00000000" w:rsidRPr="007A7E76">
        <w:rPr>
          <w:color w:val="242121"/>
          <w:sz w:val="20"/>
          <w:lang w:val="fr-CA"/>
        </w:rPr>
        <w:t>;</w:t>
      </w:r>
    </w:p>
    <w:p w14:paraId="4FDBC508" w14:textId="1DFD48B1" w:rsidR="00B52010" w:rsidRPr="007A7E76" w:rsidRDefault="0059030A">
      <w:pPr>
        <w:pStyle w:val="ListParagraph"/>
        <w:numPr>
          <w:ilvl w:val="0"/>
          <w:numId w:val="1"/>
        </w:numPr>
        <w:tabs>
          <w:tab w:val="left" w:pos="1945"/>
          <w:tab w:val="left" w:pos="1949"/>
        </w:tabs>
        <w:spacing w:before="122"/>
        <w:ind w:left="1949" w:right="113" w:hanging="365"/>
        <w:jc w:val="both"/>
        <w:rPr>
          <w:sz w:val="20"/>
          <w:lang w:val="fr-CA"/>
        </w:rPr>
      </w:pPr>
      <w:r w:rsidRPr="0059030A">
        <w:rPr>
          <w:color w:val="242121"/>
          <w:sz w:val="20"/>
          <w:lang w:val="fr-CA"/>
        </w:rPr>
        <w:t>Entreprises de services monétaires ou prestataires de services de paiement (opérations de change, transferts d'argent, autres instruments monétaires</w:t>
      </w:r>
      <w:r w:rsidR="00000000" w:rsidRPr="007A7E76">
        <w:rPr>
          <w:color w:val="242121"/>
          <w:sz w:val="20"/>
          <w:lang w:val="fr-CA"/>
        </w:rPr>
        <w:t>);</w:t>
      </w:r>
    </w:p>
    <w:p w14:paraId="3D22A2FE" w14:textId="0C03E0BD" w:rsidR="00B52010" w:rsidRPr="007A7E76" w:rsidRDefault="00A474DA">
      <w:pPr>
        <w:pStyle w:val="ListParagraph"/>
        <w:numPr>
          <w:ilvl w:val="0"/>
          <w:numId w:val="1"/>
        </w:numPr>
        <w:tabs>
          <w:tab w:val="left" w:pos="1940"/>
          <w:tab w:val="left" w:pos="1949"/>
        </w:tabs>
        <w:spacing w:before="122"/>
        <w:ind w:left="1949" w:right="107" w:hanging="365"/>
        <w:jc w:val="both"/>
        <w:rPr>
          <w:sz w:val="20"/>
          <w:lang w:val="fr-CA"/>
        </w:rPr>
      </w:pPr>
      <w:r>
        <w:rPr>
          <w:color w:val="242121"/>
          <w:sz w:val="20"/>
          <w:lang w:val="fr-CA"/>
        </w:rPr>
        <w:t>E</w:t>
      </w:r>
      <w:r w:rsidRPr="00A474DA">
        <w:rPr>
          <w:color w:val="242121"/>
          <w:sz w:val="20"/>
          <w:lang w:val="fr-CA"/>
        </w:rPr>
        <w:t>ntreprises qui gèrent un compte pour l'une des entités suivantes constituées à l'étranger : fiducie, société d'investissement privée ou société de portefeuille personnelle</w:t>
      </w:r>
      <w:r w:rsidR="00000000" w:rsidRPr="007A7E76">
        <w:rPr>
          <w:color w:val="242121"/>
          <w:sz w:val="20"/>
          <w:lang w:val="fr-CA"/>
        </w:rPr>
        <w:t>;</w:t>
      </w:r>
    </w:p>
    <w:p w14:paraId="74D3B101" w14:textId="5A7ED29F" w:rsidR="00B52010" w:rsidRPr="007A7E76" w:rsidRDefault="00A474DA">
      <w:pPr>
        <w:pStyle w:val="ListParagraph"/>
        <w:numPr>
          <w:ilvl w:val="0"/>
          <w:numId w:val="1"/>
        </w:numPr>
        <w:tabs>
          <w:tab w:val="left" w:pos="1941"/>
        </w:tabs>
        <w:ind w:left="1941" w:hanging="356"/>
        <w:jc w:val="both"/>
        <w:rPr>
          <w:sz w:val="20"/>
          <w:lang w:val="fr-CA"/>
        </w:rPr>
      </w:pPr>
      <w:r w:rsidRPr="00A474DA">
        <w:rPr>
          <w:color w:val="242121"/>
          <w:sz w:val="20"/>
          <w:lang w:val="fr-CA"/>
        </w:rPr>
        <w:t>Entreprises gérant un compte pour un gouvernement étrange</w:t>
      </w:r>
      <w:r>
        <w:rPr>
          <w:color w:val="242121"/>
          <w:sz w:val="20"/>
          <w:lang w:val="fr-CA"/>
        </w:rPr>
        <w:t>r</w:t>
      </w:r>
      <w:r w:rsidR="00000000" w:rsidRPr="007A7E76">
        <w:rPr>
          <w:color w:val="242121"/>
          <w:spacing w:val="-2"/>
          <w:sz w:val="20"/>
          <w:lang w:val="fr-CA"/>
        </w:rPr>
        <w:t>;</w:t>
      </w:r>
    </w:p>
    <w:p w14:paraId="783A5F2F" w14:textId="27613D7C" w:rsidR="00B52010" w:rsidRPr="007A7E76" w:rsidRDefault="00000000">
      <w:pPr>
        <w:pStyle w:val="ListParagraph"/>
        <w:numPr>
          <w:ilvl w:val="0"/>
          <w:numId w:val="1"/>
        </w:numPr>
        <w:tabs>
          <w:tab w:val="left" w:pos="1944"/>
          <w:tab w:val="left" w:pos="1946"/>
        </w:tabs>
        <w:ind w:left="1944" w:right="103" w:hanging="360"/>
        <w:jc w:val="both"/>
        <w:rPr>
          <w:sz w:val="20"/>
          <w:lang w:val="fr-CA"/>
        </w:rPr>
      </w:pPr>
      <w:r w:rsidRPr="007A7E76">
        <w:rPr>
          <w:rFonts w:ascii="Times New Roman"/>
          <w:color w:val="545050"/>
          <w:sz w:val="20"/>
          <w:lang w:val="fr-CA"/>
        </w:rPr>
        <w:tab/>
      </w:r>
      <w:r w:rsidR="00A474DA" w:rsidRPr="00A474DA">
        <w:rPr>
          <w:color w:val="242121"/>
          <w:sz w:val="20"/>
          <w:lang w:val="fr-CA"/>
        </w:rPr>
        <w:t>Fabricants, vendeurs ou intermédiaires d'armes, ou entreprises impliquées dans la fourniture d'armes, ou consultants en systèmes connexes, ou vendeurs de systèmes satellitaires</w:t>
      </w:r>
      <w:r w:rsidRPr="007A7E76">
        <w:rPr>
          <w:color w:val="242121"/>
          <w:sz w:val="20"/>
          <w:lang w:val="fr-CA"/>
        </w:rPr>
        <w:t>;</w:t>
      </w:r>
    </w:p>
    <w:p w14:paraId="72627699" w14:textId="1942AE8C" w:rsidR="00B52010" w:rsidRPr="007A7E76" w:rsidRDefault="009A34B2">
      <w:pPr>
        <w:pStyle w:val="ListParagraph"/>
        <w:numPr>
          <w:ilvl w:val="0"/>
          <w:numId w:val="1"/>
        </w:numPr>
        <w:tabs>
          <w:tab w:val="left" w:pos="1947"/>
        </w:tabs>
        <w:ind w:left="1947"/>
        <w:jc w:val="both"/>
        <w:rPr>
          <w:sz w:val="20"/>
          <w:lang w:val="fr-CA"/>
        </w:rPr>
      </w:pPr>
      <w:r w:rsidRPr="009A34B2">
        <w:rPr>
          <w:color w:val="242121"/>
          <w:sz w:val="20"/>
          <w:lang w:val="fr-CA"/>
        </w:rPr>
        <w:t>Entreprises de divertissement pour adultes</w:t>
      </w:r>
      <w:r w:rsidR="00000000" w:rsidRPr="007A7E76">
        <w:rPr>
          <w:color w:val="242121"/>
          <w:spacing w:val="-2"/>
          <w:sz w:val="20"/>
          <w:lang w:val="fr-CA"/>
        </w:rPr>
        <w:t>;</w:t>
      </w:r>
    </w:p>
    <w:p w14:paraId="466CB468" w14:textId="77F73D2A" w:rsidR="00B52010" w:rsidRPr="007A7E76" w:rsidRDefault="009A34B2">
      <w:pPr>
        <w:pStyle w:val="ListParagraph"/>
        <w:numPr>
          <w:ilvl w:val="0"/>
          <w:numId w:val="1"/>
        </w:numPr>
        <w:tabs>
          <w:tab w:val="left" w:pos="1945"/>
        </w:tabs>
        <w:ind w:left="1945" w:hanging="360"/>
        <w:jc w:val="both"/>
        <w:rPr>
          <w:sz w:val="20"/>
          <w:lang w:val="fr-CA"/>
        </w:rPr>
      </w:pPr>
      <w:r w:rsidRPr="009A34B2">
        <w:rPr>
          <w:color w:val="242121"/>
          <w:sz w:val="20"/>
          <w:lang w:val="fr-CA"/>
        </w:rPr>
        <w:t>Entités qui émettent des actions au porteur</w:t>
      </w:r>
      <w:r w:rsidR="00000000" w:rsidRPr="007A7E76">
        <w:rPr>
          <w:color w:val="242121"/>
          <w:spacing w:val="-2"/>
          <w:sz w:val="20"/>
          <w:lang w:val="fr-CA"/>
        </w:rPr>
        <w:t>;</w:t>
      </w:r>
    </w:p>
    <w:p w14:paraId="110FAAD0" w14:textId="1E84D41A" w:rsidR="009A34B2" w:rsidRPr="009A34B2" w:rsidRDefault="009A34B2" w:rsidP="001359F2">
      <w:pPr>
        <w:pStyle w:val="ListParagraph"/>
        <w:numPr>
          <w:ilvl w:val="0"/>
          <w:numId w:val="1"/>
        </w:numPr>
        <w:tabs>
          <w:tab w:val="left" w:pos="1945"/>
        </w:tabs>
        <w:ind w:left="1945" w:hanging="359"/>
        <w:rPr>
          <w:lang w:val="fr-CA"/>
        </w:rPr>
      </w:pPr>
      <w:r>
        <w:rPr>
          <w:color w:val="242121"/>
          <w:sz w:val="20"/>
          <w:lang w:val="fr-CA"/>
        </w:rPr>
        <w:t>E</w:t>
      </w:r>
      <w:r w:rsidRPr="009A34B2">
        <w:rPr>
          <w:color w:val="242121"/>
          <w:sz w:val="20"/>
          <w:lang w:val="fr-CA"/>
        </w:rPr>
        <w:t>ntreprises d'encaissement de chèques; et</w:t>
      </w:r>
    </w:p>
    <w:p w14:paraId="0A0A61E0" w14:textId="01C8B1E2" w:rsidR="00B52010" w:rsidRPr="00830442" w:rsidRDefault="00830442" w:rsidP="00830442">
      <w:pPr>
        <w:pStyle w:val="ListParagraph"/>
        <w:numPr>
          <w:ilvl w:val="0"/>
          <w:numId w:val="1"/>
        </w:numPr>
        <w:tabs>
          <w:tab w:val="left" w:pos="1945"/>
        </w:tabs>
        <w:ind w:left="1945" w:hanging="359"/>
        <w:rPr>
          <w:lang w:val="fr-CA"/>
        </w:rPr>
      </w:pPr>
      <w:r w:rsidRPr="00830442">
        <w:rPr>
          <w:color w:val="242121"/>
          <w:sz w:val="20"/>
          <w:lang w:val="fr-CA"/>
        </w:rPr>
        <w:t>Prêteurs privés/</w:t>
      </w:r>
      <w:r w:rsidRPr="00830442">
        <w:rPr>
          <w:color w:val="242121"/>
          <w:sz w:val="20"/>
          <w:lang w:val="fr-CA"/>
        </w:rPr>
        <w:t xml:space="preserve">aux </w:t>
      </w:r>
      <w:r w:rsidRPr="00830442">
        <w:rPr>
          <w:color w:val="242121"/>
          <w:sz w:val="20"/>
          <w:lang w:val="fr-CA"/>
        </w:rPr>
        <w:t>consommateurs</w:t>
      </w:r>
      <w:r w:rsidR="00000000" w:rsidRPr="00830442">
        <w:rPr>
          <w:color w:val="242121"/>
          <w:spacing w:val="-2"/>
          <w:sz w:val="20"/>
          <w:lang w:val="fr-CA"/>
        </w:rPr>
        <w:t>.</w:t>
      </w:r>
    </w:p>
    <w:p w14:paraId="4B5986A6" w14:textId="77777777" w:rsidR="00B52010" w:rsidRPr="007A7E76" w:rsidRDefault="00B52010">
      <w:pPr>
        <w:pStyle w:val="BodyText"/>
        <w:jc w:val="left"/>
        <w:rPr>
          <w:lang w:val="fr-CA"/>
        </w:rPr>
      </w:pPr>
    </w:p>
    <w:p w14:paraId="448F5D18" w14:textId="77777777" w:rsidR="00B52010" w:rsidRPr="007A7E76" w:rsidRDefault="00B52010">
      <w:pPr>
        <w:pStyle w:val="BodyText"/>
        <w:jc w:val="left"/>
        <w:rPr>
          <w:lang w:val="fr-CA"/>
        </w:rPr>
      </w:pPr>
    </w:p>
    <w:p w14:paraId="4AF32827" w14:textId="77777777" w:rsidR="00B52010" w:rsidRPr="007A7E76" w:rsidRDefault="00B52010">
      <w:pPr>
        <w:pStyle w:val="BodyText"/>
        <w:jc w:val="left"/>
        <w:rPr>
          <w:lang w:val="fr-CA"/>
        </w:rPr>
      </w:pPr>
    </w:p>
    <w:p w14:paraId="6D58301D" w14:textId="77777777" w:rsidR="00B52010" w:rsidRPr="007A7E76" w:rsidRDefault="00B52010">
      <w:pPr>
        <w:pStyle w:val="BodyText"/>
        <w:jc w:val="left"/>
        <w:rPr>
          <w:lang w:val="fr-CA"/>
        </w:rPr>
      </w:pPr>
    </w:p>
    <w:p w14:paraId="6B3AC178" w14:textId="77777777" w:rsidR="00B52010" w:rsidRPr="007A7E76" w:rsidRDefault="00B52010">
      <w:pPr>
        <w:pStyle w:val="BodyText"/>
        <w:spacing w:before="1"/>
        <w:jc w:val="left"/>
        <w:rPr>
          <w:sz w:val="22"/>
          <w:lang w:val="fr-CA"/>
        </w:rPr>
      </w:pPr>
    </w:p>
    <w:p w14:paraId="481CF907" w14:textId="77777777" w:rsidR="00B52010" w:rsidRPr="007A7E76" w:rsidRDefault="00000000">
      <w:pPr>
        <w:spacing w:line="206" w:lineRule="exact"/>
        <w:ind w:left="1112"/>
        <w:jc w:val="center"/>
        <w:rPr>
          <w:sz w:val="18"/>
          <w:lang w:val="fr-CA"/>
        </w:rPr>
      </w:pPr>
      <w:r w:rsidRPr="007A7E76">
        <w:rPr>
          <w:color w:val="242121"/>
          <w:w w:val="95"/>
          <w:sz w:val="18"/>
          <w:lang w:val="fr-CA"/>
        </w:rPr>
        <w:t>3</w:t>
      </w:r>
    </w:p>
    <w:p w14:paraId="1A8A52B1" w14:textId="29E46AF9" w:rsidR="00B52010" w:rsidRPr="007A7E76" w:rsidRDefault="00B52010">
      <w:pPr>
        <w:spacing w:line="172" w:lineRule="exact"/>
        <w:ind w:left="1217" w:right="8649"/>
        <w:jc w:val="center"/>
        <w:rPr>
          <w:sz w:val="15"/>
          <w:lang w:val="fr-CA"/>
        </w:rPr>
      </w:pPr>
    </w:p>
    <w:sectPr w:rsidR="00B52010" w:rsidRPr="007A7E76">
      <w:type w:val="continuous"/>
      <w:pgSz w:w="12240" w:h="15840"/>
      <w:pgMar w:top="100" w:right="1300" w:bottom="0" w:left="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AB44D2"/>
    <w:multiLevelType w:val="hybridMultilevel"/>
    <w:tmpl w:val="CF14EBB0"/>
    <w:lvl w:ilvl="0" w:tplc="44003376">
      <w:start w:val="1"/>
      <w:numFmt w:val="decimal"/>
      <w:lvlText w:val="%1."/>
      <w:lvlJc w:val="left"/>
      <w:pPr>
        <w:ind w:left="1946" w:hanging="362"/>
        <w:jc w:val="left"/>
      </w:pPr>
      <w:rPr>
        <w:rFonts w:ascii="Arial" w:eastAsia="Arial" w:hAnsi="Arial" w:cs="Arial" w:hint="default"/>
        <w:b w:val="0"/>
        <w:bCs w:val="0"/>
        <w:i w:val="0"/>
        <w:iCs w:val="0"/>
        <w:color w:val="242121"/>
        <w:spacing w:val="0"/>
        <w:w w:val="108"/>
        <w:sz w:val="20"/>
        <w:szCs w:val="20"/>
        <w:lang w:val="en-US" w:eastAsia="en-US" w:bidi="ar-SA"/>
      </w:rPr>
    </w:lvl>
    <w:lvl w:ilvl="1" w:tplc="AB80D708">
      <w:numFmt w:val="bullet"/>
      <w:lvlText w:val="•"/>
      <w:lvlJc w:val="left"/>
      <w:pPr>
        <w:ind w:left="2818" w:hanging="362"/>
      </w:pPr>
      <w:rPr>
        <w:rFonts w:hint="default"/>
        <w:lang w:val="en-US" w:eastAsia="en-US" w:bidi="ar-SA"/>
      </w:rPr>
    </w:lvl>
    <w:lvl w:ilvl="2" w:tplc="FC38AD0C">
      <w:numFmt w:val="bullet"/>
      <w:lvlText w:val="•"/>
      <w:lvlJc w:val="left"/>
      <w:pPr>
        <w:ind w:left="3696" w:hanging="362"/>
      </w:pPr>
      <w:rPr>
        <w:rFonts w:hint="default"/>
        <w:lang w:val="en-US" w:eastAsia="en-US" w:bidi="ar-SA"/>
      </w:rPr>
    </w:lvl>
    <w:lvl w:ilvl="3" w:tplc="2D8A911C">
      <w:numFmt w:val="bullet"/>
      <w:lvlText w:val="•"/>
      <w:lvlJc w:val="left"/>
      <w:pPr>
        <w:ind w:left="4574" w:hanging="362"/>
      </w:pPr>
      <w:rPr>
        <w:rFonts w:hint="default"/>
        <w:lang w:val="en-US" w:eastAsia="en-US" w:bidi="ar-SA"/>
      </w:rPr>
    </w:lvl>
    <w:lvl w:ilvl="4" w:tplc="8224487C">
      <w:numFmt w:val="bullet"/>
      <w:lvlText w:val="•"/>
      <w:lvlJc w:val="left"/>
      <w:pPr>
        <w:ind w:left="5452" w:hanging="362"/>
      </w:pPr>
      <w:rPr>
        <w:rFonts w:hint="default"/>
        <w:lang w:val="en-US" w:eastAsia="en-US" w:bidi="ar-SA"/>
      </w:rPr>
    </w:lvl>
    <w:lvl w:ilvl="5" w:tplc="41B8C640">
      <w:numFmt w:val="bullet"/>
      <w:lvlText w:val="•"/>
      <w:lvlJc w:val="left"/>
      <w:pPr>
        <w:ind w:left="6330" w:hanging="362"/>
      </w:pPr>
      <w:rPr>
        <w:rFonts w:hint="default"/>
        <w:lang w:val="en-US" w:eastAsia="en-US" w:bidi="ar-SA"/>
      </w:rPr>
    </w:lvl>
    <w:lvl w:ilvl="6" w:tplc="36FA79EA">
      <w:numFmt w:val="bullet"/>
      <w:lvlText w:val="•"/>
      <w:lvlJc w:val="left"/>
      <w:pPr>
        <w:ind w:left="7208" w:hanging="362"/>
      </w:pPr>
      <w:rPr>
        <w:rFonts w:hint="default"/>
        <w:lang w:val="en-US" w:eastAsia="en-US" w:bidi="ar-SA"/>
      </w:rPr>
    </w:lvl>
    <w:lvl w:ilvl="7" w:tplc="6E6C813E">
      <w:numFmt w:val="bullet"/>
      <w:lvlText w:val="•"/>
      <w:lvlJc w:val="left"/>
      <w:pPr>
        <w:ind w:left="8086" w:hanging="362"/>
      </w:pPr>
      <w:rPr>
        <w:rFonts w:hint="default"/>
        <w:lang w:val="en-US" w:eastAsia="en-US" w:bidi="ar-SA"/>
      </w:rPr>
    </w:lvl>
    <w:lvl w:ilvl="8" w:tplc="C534FBBC">
      <w:numFmt w:val="bullet"/>
      <w:lvlText w:val="•"/>
      <w:lvlJc w:val="left"/>
      <w:pPr>
        <w:ind w:left="8964" w:hanging="362"/>
      </w:pPr>
      <w:rPr>
        <w:rFonts w:hint="default"/>
        <w:lang w:val="en-US" w:eastAsia="en-US" w:bidi="ar-SA"/>
      </w:rPr>
    </w:lvl>
  </w:abstractNum>
  <w:num w:numId="1" w16cid:durableId="56322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52010"/>
    <w:rsid w:val="0011075E"/>
    <w:rsid w:val="001359F2"/>
    <w:rsid w:val="00434DF6"/>
    <w:rsid w:val="0059030A"/>
    <w:rsid w:val="005B1A7C"/>
    <w:rsid w:val="006D3A0B"/>
    <w:rsid w:val="007A7E76"/>
    <w:rsid w:val="00830442"/>
    <w:rsid w:val="008C1155"/>
    <w:rsid w:val="00922E81"/>
    <w:rsid w:val="009661AB"/>
    <w:rsid w:val="009A34B2"/>
    <w:rsid w:val="00A474DA"/>
    <w:rsid w:val="00B52010"/>
    <w:rsid w:val="00B9407F"/>
    <w:rsid w:val="00BE42B6"/>
    <w:rsid w:val="00DC0032"/>
    <w:rsid w:val="00E405C3"/>
    <w:rsid w:val="00EF1581"/>
    <w:rsid w:val="00F355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3AB80"/>
  <w15:docId w15:val="{67CF91C6-F8A4-4A67-AB44-77364FEE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0"/>
      <w:szCs w:val="20"/>
    </w:rPr>
  </w:style>
  <w:style w:type="paragraph" w:styleId="ListParagraph">
    <w:name w:val="List Paragraph"/>
    <w:basedOn w:val="Normal"/>
    <w:uiPriority w:val="1"/>
    <w:qFormat/>
    <w:pPr>
      <w:spacing w:before="121"/>
      <w:ind w:left="1946" w:hanging="36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471</Words>
  <Characters>2596</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Arnaud De Grace</cp:lastModifiedBy>
  <cp:revision>19</cp:revision>
  <dcterms:created xsi:type="dcterms:W3CDTF">2023-10-06T12:39:00Z</dcterms:created>
  <dcterms:modified xsi:type="dcterms:W3CDTF">2023-10-06T13:04:00Z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2023-10-03T00:00:00Z</vt:filetime>
  </property>
</Properties>
</file>